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C1C3" w14:textId="77777777" w:rsidR="00190F30" w:rsidRDefault="00190F30" w:rsidP="001B3C2F">
      <w:pPr>
        <w:widowControl w:val="0"/>
        <w:tabs>
          <w:tab w:val="left" w:pos="360"/>
        </w:tabs>
        <w:spacing w:after="0" w:line="240" w:lineRule="auto"/>
        <w:jc w:val="center"/>
        <w:rPr>
          <w:rFonts w:ascii="Calibri" w:eastAsia="Calibri" w:hAnsi="Calibri" w:cs="Arial"/>
          <w:b/>
          <w:bCs/>
          <w:color w:val="FF0000"/>
          <w:w w:val="105"/>
          <w:kern w:val="24"/>
          <w:sz w:val="28"/>
          <w:szCs w:val="28"/>
          <w:u w:val="single"/>
        </w:rPr>
      </w:pPr>
    </w:p>
    <w:p w14:paraId="00D48BF3" w14:textId="5AEB2C85" w:rsidR="007B7172" w:rsidRPr="0039363A" w:rsidRDefault="0039363A" w:rsidP="001B3C2F">
      <w:pPr>
        <w:widowControl w:val="0"/>
        <w:tabs>
          <w:tab w:val="left" w:pos="360"/>
        </w:tabs>
        <w:spacing w:after="0" w:line="240" w:lineRule="auto"/>
        <w:jc w:val="center"/>
        <w:rPr>
          <w:rFonts w:ascii="Calibri" w:eastAsia="Calibri" w:hAnsi="Calibri" w:cs="Arial"/>
          <w:b/>
          <w:bCs/>
          <w:color w:val="FF0000"/>
          <w:w w:val="105"/>
          <w:kern w:val="24"/>
          <w:sz w:val="28"/>
          <w:szCs w:val="28"/>
          <w:u w:val="single"/>
        </w:rPr>
      </w:pPr>
      <w:r w:rsidRPr="0039363A">
        <w:rPr>
          <w:rFonts w:ascii="Calibri" w:eastAsia="Calibri" w:hAnsi="Calibri" w:cs="Arial"/>
          <w:b/>
          <w:bCs/>
          <w:color w:val="FF0000"/>
          <w:w w:val="105"/>
          <w:kern w:val="24"/>
          <w:sz w:val="28"/>
          <w:szCs w:val="28"/>
          <w:u w:val="single"/>
        </w:rPr>
        <w:t>GRANT AUTHORITY</w:t>
      </w:r>
    </w:p>
    <w:p w14:paraId="2D9DDF62" w14:textId="77777777" w:rsidR="007B7172" w:rsidRDefault="007B7172" w:rsidP="00815FAB">
      <w:pPr>
        <w:widowControl w:val="0"/>
        <w:tabs>
          <w:tab w:val="left" w:pos="360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color w:val="FF0000"/>
          <w:w w:val="105"/>
          <w:kern w:val="24"/>
          <w:sz w:val="28"/>
          <w:szCs w:val="28"/>
        </w:rPr>
      </w:pPr>
    </w:p>
    <w:p w14:paraId="7059DBC7" w14:textId="77777777" w:rsidR="00190F30" w:rsidRDefault="00190F30" w:rsidP="00815FAB">
      <w:pPr>
        <w:widowControl w:val="0"/>
        <w:tabs>
          <w:tab w:val="left" w:pos="360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color w:val="FF0000"/>
          <w:w w:val="105"/>
          <w:kern w:val="24"/>
          <w:sz w:val="28"/>
          <w:szCs w:val="28"/>
        </w:rPr>
      </w:pPr>
    </w:p>
    <w:p w14:paraId="5ECC1EE9" w14:textId="211BFBF1" w:rsidR="0039363A" w:rsidRDefault="00D8433E" w:rsidP="007B7172">
      <w:pPr>
        <w:widowControl w:val="0"/>
        <w:tabs>
          <w:tab w:val="left" w:pos="360"/>
        </w:tabs>
        <w:spacing w:after="0" w:line="240" w:lineRule="auto"/>
        <w:jc w:val="both"/>
        <w:rPr>
          <w:rFonts w:ascii="Calibri" w:eastAsia="Calibri" w:hAnsi="Calibri" w:cs="Arial"/>
          <w:iCs/>
          <w:color w:val="000000"/>
          <w:w w:val="105"/>
          <w:kern w:val="24"/>
        </w:rPr>
      </w:pPr>
      <w:r>
        <w:rPr>
          <w:rFonts w:ascii="Calibri" w:eastAsia="Calibri" w:hAnsi="Calibri" w:cs="Arial"/>
          <w:iCs/>
          <w:color w:val="000000"/>
          <w:w w:val="105"/>
          <w:kern w:val="24"/>
        </w:rPr>
        <w:t xml:space="preserve">ETCOG </w:t>
      </w:r>
      <w:r w:rsidR="002B4241">
        <w:rPr>
          <w:rFonts w:ascii="Calibri" w:eastAsia="Calibri" w:hAnsi="Calibri" w:cs="Arial"/>
          <w:iCs/>
          <w:color w:val="000000"/>
          <w:w w:val="105"/>
          <w:kern w:val="24"/>
        </w:rPr>
        <w:t xml:space="preserve">demands compliance with </w:t>
      </w:r>
      <w:r w:rsidR="008D1A71">
        <w:rPr>
          <w:rFonts w:ascii="Calibri" w:eastAsia="Calibri" w:hAnsi="Calibri" w:cs="Arial"/>
          <w:iCs/>
          <w:color w:val="000000"/>
          <w:w w:val="105"/>
          <w:kern w:val="24"/>
        </w:rPr>
        <w:t>a</w:t>
      </w:r>
      <w:r w:rsidR="007B7172" w:rsidRPr="00B404F8">
        <w:rPr>
          <w:rFonts w:ascii="Calibri" w:eastAsia="Calibri" w:hAnsi="Calibri" w:cs="Arial"/>
          <w:iCs/>
          <w:color w:val="000000"/>
          <w:w w:val="105"/>
          <w:kern w:val="24"/>
        </w:rPr>
        <w:t>ll applicable federal</w:t>
      </w:r>
      <w:r w:rsidR="00590654">
        <w:rPr>
          <w:rFonts w:ascii="Calibri" w:eastAsia="Calibri" w:hAnsi="Calibri" w:cs="Arial"/>
          <w:iCs/>
          <w:color w:val="000000"/>
          <w:w w:val="105"/>
          <w:kern w:val="24"/>
        </w:rPr>
        <w:t>/state and local</w:t>
      </w:r>
      <w:r w:rsidR="007B7172" w:rsidRPr="00B404F8">
        <w:rPr>
          <w:rFonts w:ascii="Calibri" w:eastAsia="Calibri" w:hAnsi="Calibri" w:cs="Arial"/>
          <w:iCs/>
          <w:color w:val="000000"/>
          <w:w w:val="105"/>
          <w:kern w:val="24"/>
        </w:rPr>
        <w:t xml:space="preserve"> statutes, regulations, policies, and guidance as presently in effect and</w:t>
      </w:r>
      <w:r w:rsidR="000E3242">
        <w:rPr>
          <w:rFonts w:ascii="Calibri" w:eastAsia="Calibri" w:hAnsi="Calibri" w:cs="Arial"/>
          <w:iCs/>
          <w:color w:val="000000"/>
          <w:w w:val="105"/>
          <w:kern w:val="24"/>
        </w:rPr>
        <w:t xml:space="preserve"> </w:t>
      </w:r>
      <w:r w:rsidR="007B7172" w:rsidRPr="00B404F8">
        <w:rPr>
          <w:rFonts w:ascii="Calibri" w:eastAsia="Calibri" w:hAnsi="Calibri" w:cs="Arial"/>
          <w:iCs/>
          <w:color w:val="000000"/>
          <w:w w:val="105"/>
          <w:kern w:val="24"/>
        </w:rPr>
        <w:t xml:space="preserve">as may become effective during the </w:t>
      </w:r>
      <w:r w:rsidR="000E3242">
        <w:rPr>
          <w:rFonts w:ascii="Calibri" w:eastAsia="Calibri" w:hAnsi="Calibri" w:cs="Arial"/>
          <w:iCs/>
          <w:color w:val="000000"/>
          <w:w w:val="105"/>
          <w:kern w:val="24"/>
        </w:rPr>
        <w:t xml:space="preserve">contract </w:t>
      </w:r>
      <w:r w:rsidR="007B7172" w:rsidRPr="00B404F8">
        <w:rPr>
          <w:rFonts w:ascii="Calibri" w:eastAsia="Calibri" w:hAnsi="Calibri" w:cs="Arial"/>
          <w:iCs/>
          <w:color w:val="000000"/>
          <w:w w:val="105"/>
          <w:kern w:val="24"/>
        </w:rPr>
        <w:t>term</w:t>
      </w:r>
      <w:r w:rsidR="00E61CDF">
        <w:rPr>
          <w:rFonts w:ascii="Calibri" w:eastAsia="Calibri" w:hAnsi="Calibri" w:cs="Arial"/>
          <w:iCs/>
          <w:color w:val="000000"/>
          <w:w w:val="105"/>
          <w:kern w:val="24"/>
        </w:rPr>
        <w:t xml:space="preserve">. Some of those include </w:t>
      </w:r>
      <w:r w:rsidR="0039363A">
        <w:rPr>
          <w:rFonts w:ascii="Calibri" w:eastAsia="Calibri" w:hAnsi="Calibri" w:cs="Arial"/>
          <w:iCs/>
          <w:color w:val="000000"/>
          <w:w w:val="105"/>
          <w:kern w:val="24"/>
        </w:rPr>
        <w:t xml:space="preserve">but </w:t>
      </w:r>
      <w:r w:rsidR="00E61CDF">
        <w:rPr>
          <w:rFonts w:ascii="Calibri" w:eastAsia="Calibri" w:hAnsi="Calibri" w:cs="Arial"/>
          <w:iCs/>
          <w:color w:val="000000"/>
          <w:w w:val="105"/>
          <w:kern w:val="24"/>
        </w:rPr>
        <w:t xml:space="preserve">are </w:t>
      </w:r>
      <w:r w:rsidR="0039363A">
        <w:rPr>
          <w:rFonts w:ascii="Calibri" w:eastAsia="Calibri" w:hAnsi="Calibri" w:cs="Arial"/>
          <w:iCs/>
          <w:color w:val="000000"/>
          <w:w w:val="105"/>
          <w:kern w:val="24"/>
        </w:rPr>
        <w:t>not limited to</w:t>
      </w:r>
      <w:r w:rsidR="00E61CDF">
        <w:rPr>
          <w:rFonts w:ascii="Calibri" w:eastAsia="Calibri" w:hAnsi="Calibri" w:cs="Arial"/>
          <w:iCs/>
          <w:color w:val="000000"/>
          <w:w w:val="105"/>
          <w:kern w:val="24"/>
        </w:rPr>
        <w:t xml:space="preserve"> </w:t>
      </w:r>
      <w:r w:rsidR="0039363A">
        <w:rPr>
          <w:rFonts w:ascii="Calibri" w:eastAsia="Calibri" w:hAnsi="Calibri" w:cs="Arial"/>
          <w:iCs/>
          <w:color w:val="000000"/>
          <w:w w:val="105"/>
          <w:kern w:val="24"/>
        </w:rPr>
        <w:t>the following</w:t>
      </w:r>
      <w:r w:rsidR="00E61CDF">
        <w:rPr>
          <w:rFonts w:ascii="Calibri" w:eastAsia="Calibri" w:hAnsi="Calibri" w:cs="Arial"/>
          <w:iCs/>
          <w:color w:val="000000"/>
          <w:w w:val="105"/>
          <w:kern w:val="24"/>
        </w:rPr>
        <w:t>:</w:t>
      </w:r>
    </w:p>
    <w:p w14:paraId="644B0936" w14:textId="77777777" w:rsidR="0039363A" w:rsidRDefault="0039363A" w:rsidP="007B7172">
      <w:pPr>
        <w:widowControl w:val="0"/>
        <w:tabs>
          <w:tab w:val="left" w:pos="360"/>
        </w:tabs>
        <w:spacing w:after="0" w:line="240" w:lineRule="auto"/>
        <w:jc w:val="both"/>
        <w:rPr>
          <w:rFonts w:ascii="Calibri" w:eastAsia="Calibri" w:hAnsi="Calibri" w:cs="Arial"/>
          <w:iCs/>
          <w:color w:val="000000"/>
          <w:w w:val="105"/>
          <w:kern w:val="24"/>
        </w:rPr>
      </w:pPr>
    </w:p>
    <w:p w14:paraId="6E98186A" w14:textId="5FA6C30C" w:rsidR="0039363A" w:rsidRDefault="0039363A" w:rsidP="007B7172">
      <w:pPr>
        <w:widowControl w:val="0"/>
        <w:tabs>
          <w:tab w:val="left" w:pos="360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color w:val="FF0000"/>
          <w:w w:val="105"/>
          <w:kern w:val="24"/>
          <w:sz w:val="28"/>
          <w:szCs w:val="28"/>
        </w:rPr>
      </w:pPr>
      <w:r w:rsidRPr="006632FC">
        <w:rPr>
          <w:rFonts w:ascii="Calibri" w:eastAsia="Calibri" w:hAnsi="Calibri" w:cs="Arial"/>
          <w:b/>
          <w:bCs/>
          <w:iCs/>
          <w:color w:val="FF0000"/>
          <w:w w:val="105"/>
          <w:kern w:val="24"/>
          <w:sz w:val="28"/>
          <w:szCs w:val="28"/>
        </w:rPr>
        <w:t>Federal Regulations</w:t>
      </w:r>
    </w:p>
    <w:p w14:paraId="7E80DCAA" w14:textId="77777777" w:rsidR="00E75BBE" w:rsidRDefault="00E75BBE" w:rsidP="00E75BBE">
      <w:pPr>
        <w:pStyle w:val="Default"/>
      </w:pPr>
    </w:p>
    <w:p w14:paraId="309E65E3" w14:textId="49E17A9E" w:rsidR="00E75BBE" w:rsidRDefault="00E75BBE" w:rsidP="00E75BBE">
      <w:pPr>
        <w:pStyle w:val="Default"/>
        <w:spacing w:after="329"/>
        <w:rPr>
          <w:sz w:val="23"/>
          <w:szCs w:val="23"/>
        </w:rPr>
      </w:pPr>
      <w:r>
        <w:rPr>
          <w:sz w:val="23"/>
          <w:szCs w:val="23"/>
        </w:rPr>
        <w:t xml:space="preserve">Child Care and Development Block Grant Act of 1990, 42 United States Code (U.S.C.) §§ 9858 </w:t>
      </w:r>
      <w:r>
        <w:rPr>
          <w:i/>
          <w:iCs/>
          <w:sz w:val="23"/>
          <w:szCs w:val="23"/>
        </w:rPr>
        <w:t>et seq</w:t>
      </w:r>
      <w:r>
        <w:rPr>
          <w:sz w:val="23"/>
          <w:szCs w:val="23"/>
        </w:rPr>
        <w:t xml:space="preserve">., as amended by the Child Care and Development Block Grant of 2014 (Public Law (Pub. L.) 113-186); </w:t>
      </w:r>
    </w:p>
    <w:p w14:paraId="572FD240" w14:textId="77777777" w:rsidR="00E75BBE" w:rsidRDefault="00E75BBE" w:rsidP="00E75BBE">
      <w:pPr>
        <w:pStyle w:val="Default"/>
        <w:spacing w:after="329"/>
        <w:rPr>
          <w:sz w:val="23"/>
          <w:szCs w:val="23"/>
        </w:rPr>
      </w:pPr>
      <w:r>
        <w:rPr>
          <w:sz w:val="23"/>
          <w:szCs w:val="23"/>
        </w:rPr>
        <w:t xml:space="preserve">Social Security Act, 42 U.S.C. §§ 603-619, as amended; </w:t>
      </w:r>
    </w:p>
    <w:p w14:paraId="3AF06D94" w14:textId="29A5B6AF" w:rsidR="00E75BBE" w:rsidRPr="00E75BBE" w:rsidRDefault="00E75BBE" w:rsidP="00E75BBE">
      <w:pPr>
        <w:pStyle w:val="Default"/>
        <w:spacing w:after="329"/>
        <w:rPr>
          <w:sz w:val="23"/>
          <w:szCs w:val="23"/>
        </w:rPr>
      </w:pPr>
      <w:r>
        <w:rPr>
          <w:sz w:val="23"/>
          <w:szCs w:val="23"/>
        </w:rPr>
        <w:t xml:space="preserve">Personal Responsibility and Work Opportunity Reconciliation Act of 1996, 42 U.S.C. §§ 601 </w:t>
      </w:r>
      <w:r>
        <w:rPr>
          <w:i/>
          <w:iCs/>
          <w:sz w:val="23"/>
          <w:szCs w:val="23"/>
        </w:rPr>
        <w:t>et seq</w:t>
      </w:r>
      <w:r>
        <w:rPr>
          <w:sz w:val="23"/>
          <w:szCs w:val="23"/>
        </w:rPr>
        <w:t>.;</w:t>
      </w:r>
    </w:p>
    <w:p w14:paraId="61F8E82F" w14:textId="555E1A1C" w:rsidR="00E75BBE" w:rsidRDefault="00E75BBE" w:rsidP="00E75BBE">
      <w:pPr>
        <w:pStyle w:val="Default"/>
        <w:spacing w:after="3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Further Consolidated Appropriations Act, 2024 (Pub. L. 118-47); </w:t>
      </w:r>
    </w:p>
    <w:p w14:paraId="24F02CEA" w14:textId="7CF6A87A" w:rsidR="00E75BBE" w:rsidRDefault="00E75BBE" w:rsidP="00E75BBE">
      <w:pPr>
        <w:pStyle w:val="Default"/>
        <w:spacing w:after="3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Federal regulations for Child Care and Development Fund at 45 Code of Federal Regulations (C.F.R.) </w:t>
      </w:r>
    </w:p>
    <w:p w14:paraId="2CF7DEAE" w14:textId="5FCFF71A" w:rsidR="00E75BBE" w:rsidRDefault="00E75BBE" w:rsidP="00E75BBE">
      <w:pPr>
        <w:pStyle w:val="Default"/>
        <w:spacing w:after="3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administrative requirements, cost principles, and audit requirements </w:t>
      </w:r>
      <w:proofErr w:type="gramStart"/>
      <w:r>
        <w:rPr>
          <w:color w:val="auto"/>
          <w:sz w:val="23"/>
          <w:szCs w:val="23"/>
        </w:rPr>
        <w:t>contained</w:t>
      </w:r>
      <w:proofErr w:type="gramEnd"/>
      <w:r>
        <w:rPr>
          <w:color w:val="auto"/>
          <w:sz w:val="23"/>
          <w:szCs w:val="23"/>
        </w:rPr>
        <w:t xml:space="preserve"> herein, and the Department of Health and Human Services regulations at 2 C.F.R. Part 300 and 45 C.F.R. Part 75; </w:t>
      </w:r>
    </w:p>
    <w:p w14:paraId="3C26929A" w14:textId="713E86DA" w:rsidR="00E75BBE" w:rsidRDefault="00E75BBE" w:rsidP="00E75BBE">
      <w:pPr>
        <w:pStyle w:val="Default"/>
        <w:spacing w:after="3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Texas Government Code §§ 2308.301 </w:t>
      </w:r>
      <w:r>
        <w:rPr>
          <w:i/>
          <w:iCs/>
          <w:color w:val="auto"/>
          <w:sz w:val="23"/>
          <w:szCs w:val="23"/>
        </w:rPr>
        <w:t>et seq</w:t>
      </w:r>
      <w:r>
        <w:rPr>
          <w:color w:val="auto"/>
          <w:sz w:val="23"/>
          <w:szCs w:val="23"/>
        </w:rPr>
        <w:t xml:space="preserve">.; </w:t>
      </w:r>
    </w:p>
    <w:p w14:paraId="2ED2EC2C" w14:textId="675ED541" w:rsidR="00E75BBE" w:rsidRDefault="00E75BBE" w:rsidP="00E75BBE">
      <w:pPr>
        <w:pStyle w:val="Default"/>
        <w:spacing w:after="3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Approved State Plan for CCDF (State Plan); </w:t>
      </w:r>
    </w:p>
    <w:p w14:paraId="6CBB1FBC" w14:textId="1BE906FA" w:rsidR="00E75BBE" w:rsidRDefault="00E75BBE" w:rsidP="00E75BBE">
      <w:pPr>
        <w:pStyle w:val="Default"/>
        <w:spacing w:after="3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Texas Human Resources Code, Chapter 31, 34, and 44; </w:t>
      </w:r>
    </w:p>
    <w:p w14:paraId="61BD61A3" w14:textId="7A4AF481" w:rsidR="00E75BBE" w:rsidRDefault="00E75BBE" w:rsidP="00E75BBE">
      <w:pPr>
        <w:pStyle w:val="Default"/>
        <w:spacing w:after="3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Texas Labor Code, Chapter 302; </w:t>
      </w:r>
    </w:p>
    <w:p w14:paraId="39578B3F" w14:textId="45150D46" w:rsidR="00E75BBE" w:rsidRDefault="00E75BBE" w:rsidP="00E75BBE">
      <w:pPr>
        <w:pStyle w:val="Default"/>
        <w:spacing w:after="3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40 Texas Administrative Code (TAC), Chapters 800, 801, 802, and 809; </w:t>
      </w:r>
    </w:p>
    <w:p w14:paraId="6E85D257" w14:textId="3450DBA8" w:rsidR="00E75BBE" w:rsidRDefault="00E75BBE" w:rsidP="00E75BBE">
      <w:pPr>
        <w:pStyle w:val="Default"/>
        <w:spacing w:after="3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Approved Local Workforce Development Board Plan, including modifications and amendments; and </w:t>
      </w:r>
    </w:p>
    <w:p w14:paraId="1EE3475F" w14:textId="3F9C735B" w:rsidR="00E75BBE" w:rsidRDefault="00E75BBE" w:rsidP="00E75BBE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Workforce Development (WD) Letters and Guidance, located at </w:t>
      </w:r>
      <w:r>
        <w:rPr>
          <w:color w:val="0000FF"/>
          <w:sz w:val="23"/>
          <w:szCs w:val="23"/>
        </w:rPr>
        <w:t>https://www.twc.texas.gov/policy-letters</w:t>
      </w:r>
      <w:r>
        <w:rPr>
          <w:sz w:val="23"/>
          <w:szCs w:val="23"/>
        </w:rPr>
        <w:t xml:space="preserve">, other Agency policy directives, and any subsequent issuances. </w:t>
      </w:r>
    </w:p>
    <w:p w14:paraId="223EA8A1" w14:textId="77777777" w:rsidR="00E75BBE" w:rsidRPr="0039363A" w:rsidRDefault="00E75BBE" w:rsidP="007B7172">
      <w:pPr>
        <w:widowControl w:val="0"/>
        <w:tabs>
          <w:tab w:val="left" w:pos="360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color w:val="FF0000"/>
          <w:w w:val="105"/>
          <w:kern w:val="24"/>
          <w:sz w:val="28"/>
          <w:szCs w:val="28"/>
        </w:rPr>
      </w:pPr>
    </w:p>
    <w:p w14:paraId="14FC6C9A" w14:textId="70024997" w:rsidR="007B7172" w:rsidRPr="00815FAB" w:rsidRDefault="002030B2" w:rsidP="007B7172">
      <w:pPr>
        <w:widowControl w:val="0"/>
        <w:tabs>
          <w:tab w:val="left" w:pos="360"/>
        </w:tabs>
        <w:spacing w:after="0" w:line="240" w:lineRule="auto"/>
        <w:jc w:val="both"/>
        <w:rPr>
          <w:rFonts w:ascii="Calibri" w:eastAsia="Calibri" w:hAnsi="Calibri" w:cs="Arial"/>
          <w:iCs/>
          <w:color w:val="000000"/>
          <w:w w:val="105"/>
          <w:kern w:val="24"/>
        </w:rPr>
      </w:pPr>
      <w:r>
        <w:rPr>
          <w:rFonts w:ascii="Calibri" w:eastAsia="Calibri" w:hAnsi="Calibri" w:cs="Arial"/>
          <w:iCs/>
          <w:color w:val="000000"/>
          <w:w w:val="105"/>
          <w:kern w:val="24"/>
        </w:rPr>
        <w:t xml:space="preserve"> </w:t>
      </w:r>
    </w:p>
    <w:sectPr w:rsidR="007B7172" w:rsidRPr="00815FAB" w:rsidSect="00722CE6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AB"/>
    <w:rsid w:val="000E3242"/>
    <w:rsid w:val="0017406A"/>
    <w:rsid w:val="00190F30"/>
    <w:rsid w:val="001B3C2F"/>
    <w:rsid w:val="002030B2"/>
    <w:rsid w:val="0020454F"/>
    <w:rsid w:val="00252326"/>
    <w:rsid w:val="002A2754"/>
    <w:rsid w:val="002A45D9"/>
    <w:rsid w:val="002B4241"/>
    <w:rsid w:val="00323013"/>
    <w:rsid w:val="0039363A"/>
    <w:rsid w:val="003C72A1"/>
    <w:rsid w:val="003D5243"/>
    <w:rsid w:val="004118F3"/>
    <w:rsid w:val="00523035"/>
    <w:rsid w:val="00590654"/>
    <w:rsid w:val="005F1236"/>
    <w:rsid w:val="00652784"/>
    <w:rsid w:val="006632FC"/>
    <w:rsid w:val="00722CE6"/>
    <w:rsid w:val="007B7172"/>
    <w:rsid w:val="007C1C7C"/>
    <w:rsid w:val="007E772C"/>
    <w:rsid w:val="008017F0"/>
    <w:rsid w:val="00815FAB"/>
    <w:rsid w:val="008555AB"/>
    <w:rsid w:val="0087482A"/>
    <w:rsid w:val="00881AE7"/>
    <w:rsid w:val="008D1A71"/>
    <w:rsid w:val="008F3893"/>
    <w:rsid w:val="00927DA6"/>
    <w:rsid w:val="00944582"/>
    <w:rsid w:val="009D42DE"/>
    <w:rsid w:val="009D65CA"/>
    <w:rsid w:val="00AC249F"/>
    <w:rsid w:val="00B404F8"/>
    <w:rsid w:val="00B55F8D"/>
    <w:rsid w:val="00BA4F14"/>
    <w:rsid w:val="00BF0238"/>
    <w:rsid w:val="00BF028E"/>
    <w:rsid w:val="00BF281B"/>
    <w:rsid w:val="00C71353"/>
    <w:rsid w:val="00C760A7"/>
    <w:rsid w:val="00CE30CF"/>
    <w:rsid w:val="00D13916"/>
    <w:rsid w:val="00D454E5"/>
    <w:rsid w:val="00D8433E"/>
    <w:rsid w:val="00DB1BD9"/>
    <w:rsid w:val="00E03205"/>
    <w:rsid w:val="00E05D86"/>
    <w:rsid w:val="00E61CDF"/>
    <w:rsid w:val="00E75BBE"/>
    <w:rsid w:val="00EA1FDA"/>
    <w:rsid w:val="00F3377D"/>
    <w:rsid w:val="00F72937"/>
    <w:rsid w:val="00F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6D00"/>
  <w15:chartTrackingRefBased/>
  <w15:docId w15:val="{737F4FD9-9234-4DFC-86D3-EB17E951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815FAB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nhideWhenUsed/>
    <w:rsid w:val="00815FAB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rsid w:val="00815FAB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815FAB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15FA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5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F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243"/>
    <w:rPr>
      <w:color w:val="954F72" w:themeColor="followedHyperlink"/>
      <w:u w:val="single"/>
    </w:rPr>
  </w:style>
  <w:style w:type="paragraph" w:customStyle="1" w:styleId="Default">
    <w:name w:val="Default"/>
    <w:rsid w:val="00E75B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29f810-a10e-4ea4-849f-b2ec3f5478ba" xsi:nil="true"/>
    <lcf76f155ced4ddcb4097134ff3c332f xmlns="0bc21d88-c113-41e9-a396-682fb451b58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509EF3768A340B76CDA498417D558" ma:contentTypeVersion="14" ma:contentTypeDescription="Create a new document." ma:contentTypeScope="" ma:versionID="15688503c36cdff6fa8d33b1bb0e1960">
  <xsd:schema xmlns:xsd="http://www.w3.org/2001/XMLSchema" xmlns:xs="http://www.w3.org/2001/XMLSchema" xmlns:p="http://schemas.microsoft.com/office/2006/metadata/properties" xmlns:ns1="http://schemas.microsoft.com/sharepoint/v3" xmlns:ns2="0bc21d88-c113-41e9-a396-682fb451b583" xmlns:ns3="6929f810-a10e-4ea4-849f-b2ec3f5478ba" targetNamespace="http://schemas.microsoft.com/office/2006/metadata/properties" ma:root="true" ma:fieldsID="4b11b6eca93df05f5b9c46c83f735b30" ns1:_="" ns2:_="" ns3:_="">
    <xsd:import namespace="http://schemas.microsoft.com/sharepoint/v3"/>
    <xsd:import namespace="0bc21d88-c113-41e9-a396-682fb451b583"/>
    <xsd:import namespace="6929f810-a10e-4ea4-849f-b2ec3f547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21d88-c113-41e9-a396-682fb451b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99a29e7-9e3c-4749-94a2-6e5edb3e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9f810-a10e-4ea4-849f-b2ec3f5478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884fd-debe-4013-b9d0-bcc3ae34f165}" ma:internalName="TaxCatchAll" ma:showField="CatchAllData" ma:web="6929f810-a10e-4ea4-849f-b2ec3f547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6BA87-3376-4071-A1FA-37B9EEA88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6E026-7FC3-4B9F-921B-464DD0D582E1}">
  <ds:schemaRefs>
    <ds:schemaRef ds:uri="http://schemas.microsoft.com/office/2006/metadata/properties"/>
    <ds:schemaRef ds:uri="http://schemas.microsoft.com/office/infopath/2007/PartnerControls"/>
    <ds:schemaRef ds:uri="6929f810-a10e-4ea4-849f-b2ec3f5478ba"/>
    <ds:schemaRef ds:uri="0bc21d88-c113-41e9-a396-682fb451b5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A97221-B00E-462A-86B1-49A958065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c21d88-c113-41e9-a396-682fb451b583"/>
    <ds:schemaRef ds:uri="6929f810-a10e-4ea4-849f-b2ec3f547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Martin</dc:creator>
  <cp:keywords/>
  <dc:description/>
  <cp:lastModifiedBy>Tiffany Combs</cp:lastModifiedBy>
  <cp:revision>2</cp:revision>
  <dcterms:created xsi:type="dcterms:W3CDTF">2025-03-31T20:51:00Z</dcterms:created>
  <dcterms:modified xsi:type="dcterms:W3CDTF">2025-03-31T20:51:00Z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0x0101001DC509EF3768A340B76CDA498417D558</vt:lpwstr>
  </property>
  <property fmtid="{D5CDD505-2E9C-101B-9397-08002B2CF9AE}" pid="3" name="MediaServiceImageTags">
    <vt:lpwstr/>
  </property>
</Properties>
</file>